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rsidTr="00151487">
        <w:tc>
          <w:tcPr>
            <w:tcW w:w="13992" w:type="dxa"/>
            <w:gridSpan w:val="3"/>
            <w:tcBorders>
              <w:bottom w:val="nil"/>
            </w:tcBorders>
          </w:tcPr>
          <w:p w:rsidR="00151487" w:rsidRDefault="00151487" w:rsidP="00151487">
            <w:pPr>
              <w:pStyle w:val="02Akop"/>
            </w:pPr>
            <w:r>
              <w:rPr>
                <w:color w:val="E30513"/>
              </w:rPr>
              <w:t xml:space="preserve">Bijlage </w:t>
            </w:r>
            <w:r w:rsidR="004A7FBB">
              <w:rPr>
                <w:color w:val="E30513"/>
              </w:rPr>
              <w:t>6</w:t>
            </w:r>
            <w:r>
              <w:rPr>
                <w:color w:val="E30513"/>
              </w:rPr>
              <w:t>:</w:t>
            </w:r>
            <w:r>
              <w:t xml:space="preserve"> </w:t>
            </w:r>
            <w:r w:rsidR="004A7FBB" w:rsidRPr="004A7FBB">
              <w:t>Voorbeeld klachtenregeling ongewenst gedrag</w:t>
            </w:r>
            <w:r w:rsidR="004A7FBB">
              <w:t xml:space="preserve"> (inclusief klachtencommissie) </w:t>
            </w:r>
          </w:p>
          <w:p w:rsidR="00151487" w:rsidRDefault="00151487"/>
        </w:tc>
      </w:tr>
      <w:tr w:rsidR="00151487" w:rsidTr="00151487">
        <w:tc>
          <w:tcPr>
            <w:tcW w:w="4664" w:type="dxa"/>
            <w:tcBorders>
              <w:right w:val="nil"/>
            </w:tcBorders>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w:t>
            </w:r>
            <w:r w:rsidRPr="004A7FBB">
              <w:rPr>
                <w:rFonts w:ascii="HelveticaNeueLT Std Lt" w:hAnsi="HelveticaNeueLT Std Lt" w:cs="HelveticaNeueLT Std Lt"/>
                <w:caps/>
                <w:color w:val="000000"/>
                <w:sz w:val="19"/>
                <w:szCs w:val="19"/>
              </w:rPr>
              <w:br/>
            </w:r>
            <w:r w:rsidRPr="004A7FBB">
              <w:rPr>
                <w:rFonts w:ascii="HelveticaNeueLT Std" w:hAnsi="HelveticaNeueLT Std" w:cs="HelveticaNeueLT Std"/>
                <w:b/>
                <w:bCs/>
                <w:sz w:val="19"/>
                <w:szCs w:val="19"/>
              </w:rPr>
              <w:t>Begripsbepaling</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In deze regeling wordt verstaan onder:</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Directie</w:t>
            </w:r>
            <w:r w:rsidRPr="004A7FBB">
              <w:rPr>
                <w:rFonts w:ascii="HelveticaNeueLT Std Lt" w:hAnsi="HelveticaNeueLT Std Lt" w:cs="HelveticaNeueLT Std Lt"/>
                <w:color w:val="000000"/>
                <w:sz w:val="19"/>
                <w:szCs w:val="19"/>
              </w:rPr>
              <w:br/>
              <w:t>De directie van het bedrijf.</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OR</w:t>
            </w:r>
            <w:r w:rsidRPr="004A7FBB">
              <w:rPr>
                <w:rFonts w:ascii="HelveticaNeueLT Std Lt" w:hAnsi="HelveticaNeueLT Std Lt" w:cs="HelveticaNeueLT Std Lt"/>
                <w:color w:val="000000"/>
                <w:sz w:val="19"/>
                <w:szCs w:val="19"/>
              </w:rPr>
              <w:br/>
              <w:t>De ondernemingsraad van het bedrijf.</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De PVT</w:t>
            </w:r>
            <w:r w:rsidRPr="004A7FBB">
              <w:rPr>
                <w:rFonts w:ascii="HelveticaNeueLT Std Lt" w:hAnsi="HelveticaNeueLT Std Lt" w:cs="HelveticaNeueLT Std Lt"/>
                <w:color w:val="000000"/>
                <w:sz w:val="19"/>
                <w:szCs w:val="19"/>
              </w:rPr>
              <w:br/>
              <w:t>De personeelsvertegenwoordiging van het bedrijf.</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Gedrag</w:t>
            </w:r>
            <w:r w:rsidRPr="004A7FBB">
              <w:rPr>
                <w:rFonts w:ascii="HelveticaNeueLT Std Lt" w:hAnsi="HelveticaNeueLT Std Lt" w:cs="HelveticaNeueLT Std Lt"/>
                <w:color w:val="000000"/>
                <w:sz w:val="19"/>
                <w:szCs w:val="19"/>
              </w:rPr>
              <w:br/>
              <w:t>Een specifieke combinatie van uitingen in houding, gebaar, woord, geschrift of (poging tot) lijfelijk contact, waarmee iemand reageert op en/of handelt in een gegeven situatie, al dan niet expliciet gericht op een bepaalde groep of persoon.</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Initiator</w:t>
            </w:r>
            <w:r w:rsidRPr="004A7FBB">
              <w:rPr>
                <w:rFonts w:ascii="HelveticaNeueLT Std Lt" w:hAnsi="HelveticaNeueLT Std Lt" w:cs="HelveticaNeueLT Std Lt"/>
                <w:color w:val="000000"/>
                <w:sz w:val="19"/>
                <w:szCs w:val="19"/>
              </w:rPr>
              <w:br/>
              <w:t>Degene die, bij een of meer gelegenheden of herhaaldelijk uit gewoonte, een bepaald gedrag of gedragspatroon vertoont of vertoond heeft.</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Klager</w:t>
            </w:r>
            <w:r w:rsidRPr="004A7FBB">
              <w:rPr>
                <w:rFonts w:ascii="HelveticaNeueLT Std Lt" w:hAnsi="HelveticaNeueLT Std Lt" w:cs="HelveticaNeueLT Std Lt"/>
                <w:color w:val="000000"/>
                <w:sz w:val="19"/>
                <w:szCs w:val="19"/>
              </w:rPr>
              <w:br/>
              <w:t>Degene die, doelwit wordt van, of is geconfronteerd met, initiators gedrag, dit als ongewenst ervaart en zich op grond van deze regeling met een klacht wendt tot de Vertrouwenspersoon of directie.</w:t>
            </w:r>
          </w:p>
          <w:p w:rsidR="00151487" w:rsidRPr="00CE48A0" w:rsidRDefault="00151487" w:rsidP="00CE48A0">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p>
        </w:tc>
        <w:tc>
          <w:tcPr>
            <w:tcW w:w="4664" w:type="dxa"/>
            <w:tcBorders>
              <w:left w:val="nil"/>
              <w:right w:val="nil"/>
            </w:tcBorders>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w:hAnsi="HelveticaNeueLT Std" w:cs="HelveticaNeueLT Std"/>
                <w:b/>
                <w:bCs/>
                <w:sz w:val="19"/>
                <w:szCs w:val="19"/>
              </w:rPr>
              <w:t>Klacht</w:t>
            </w:r>
            <w:r w:rsidRPr="004A7FBB">
              <w:rPr>
                <w:rFonts w:ascii="HelveticaNeueLT Std Lt" w:hAnsi="HelveticaNeueLT Std Lt" w:cs="HelveticaNeueLT Std Lt"/>
                <w:color w:val="000000"/>
                <w:sz w:val="19"/>
                <w:szCs w:val="19"/>
              </w:rPr>
              <w:br/>
              <w:t xml:space="preserve">In de zin van deze regeling, een officiële klacht over ongewenst gedrag, ingediend bij de Vertrouwenspersoon (indien aanwezig) of directie, e.e.a. afhankelijk van de interne afspraken hierover.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klachtencommissie</w:t>
            </w:r>
            <w:r w:rsidRPr="004A7FBB">
              <w:rPr>
                <w:rFonts w:ascii="HelveticaNeueLT Std Lt" w:hAnsi="HelveticaNeueLT Std Lt" w:cs="HelveticaNeueLT Std Lt"/>
                <w:color w:val="000000"/>
                <w:sz w:val="19"/>
                <w:szCs w:val="19"/>
              </w:rPr>
              <w:br/>
              <w:t>Onafhankelijke en deskundige klachtencommissie die klachten van personeelsleden over ongewenst gedrag onderzoekt en hierover aan de directie adviseert.</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Ongewenst gedrag</w:t>
            </w:r>
            <w:r w:rsidRPr="004A7FBB">
              <w:rPr>
                <w:rFonts w:ascii="HelveticaNeueLT Std Lt" w:hAnsi="HelveticaNeueLT Std Lt" w:cs="HelveticaNeueLT Std Lt"/>
                <w:color w:val="000000"/>
                <w:sz w:val="19"/>
                <w:szCs w:val="19"/>
              </w:rPr>
              <w:br/>
              <w:t>in het algemeen elk gedrag van de initiator dat de klager sociale, psychische en/of fysieke schade toebrengt en dat maatschappelijk en objectief gezien ook als ongepast, hinderlijk, kwetsend of bedreigend ervaren mag worden en uit dien hoofde onacceptabel is.</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Meer in het bijzonder gelden als vormen van ongewenst gedrag:</w:t>
            </w:r>
          </w:p>
          <w:p w:rsidR="00151487"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Seksuele intimidatie</w:t>
            </w:r>
            <w:r w:rsidRPr="004A7FBB">
              <w:rPr>
                <w:rFonts w:ascii="HelveticaNeueLT Std Lt" w:hAnsi="HelveticaNeueLT Std Lt" w:cs="HelveticaNeueLT Std Lt"/>
                <w:color w:val="000000"/>
                <w:sz w:val="19"/>
                <w:szCs w:val="19"/>
              </w:rPr>
              <w:br/>
              <w:t>elke vorm van seksuele toenadering, verzoeken om seksuele gunsten of ander seksueel getint gedrag die een werknemer tegen wie het is gericht, als ongewenst ervaart. Dat kan verbaal zijn (dubbelzinnige opmerkingen, vragen over het privéleven), non- verbaal (tonen van seksueel getinte afbeeldingen, aanstaren, gebaren maken) en alle vormen van ongewenst lichamelijk contact (arm om de schouder, beetpakken, knijpen, zoenen, aanranden en verkrachten).</w:t>
            </w:r>
          </w:p>
        </w:tc>
        <w:tc>
          <w:tcPr>
            <w:tcW w:w="4664" w:type="dxa"/>
            <w:tcBorders>
              <w:left w:val="nil"/>
            </w:tcBorders>
          </w:tcPr>
          <w:p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Pesten</w:t>
            </w:r>
            <w:r w:rsidRPr="004A7FBB">
              <w:rPr>
                <w:rFonts w:ascii="HelveticaNeueLT Std Lt" w:hAnsi="HelveticaNeueLT Std Lt" w:cs="HelveticaNeueLT Std Lt"/>
                <w:color w:val="000000"/>
                <w:sz w:val="19"/>
                <w:szCs w:val="19"/>
              </w:rPr>
              <w:br/>
              <w:t>Herhaald ongewenst negatief gedrag, waartegen iemand zich niet kan verdedigen. Pestgedrag kan direct zijn gericht tegen de persoon of groep (kleinerende of vernederende opmerkingen, voortdurende kritiek). Pesten kan ook minder direct (iemand isoleren, buitensluiten en negeren, of roddels, kwaadaardige geruchten, leugens en valse beschuldigingen verspreiden).</w:t>
            </w:r>
          </w:p>
          <w:p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Agressie en geweld</w:t>
            </w:r>
            <w:r w:rsidRPr="004A7FBB">
              <w:rPr>
                <w:rFonts w:ascii="HelveticaNeueLT Std Lt" w:hAnsi="HelveticaNeueLT Std Lt" w:cs="HelveticaNeueLT Std Lt"/>
                <w:color w:val="000000"/>
                <w:sz w:val="19"/>
                <w:szCs w:val="19"/>
              </w:rPr>
              <w:br/>
              <w:t>Onder agressie en geweld zijn meer vormen te onderscheiden: verbaal, psychisch en fysiek geweld. Bij verbaal geweld valt te denken aan schelden of beledigen. Bij psychisch geweld gaat het o.a. om lastigvallen, intimideren of onder druk zetten. Bij fysiek geweld gaat het bijvoorbeeld om schoppen, slaan, bijten, vastgrijpen, of overvallen worden.</w:t>
            </w:r>
          </w:p>
          <w:p w:rsidR="004A7FBB" w:rsidRPr="004A7FBB" w:rsidRDefault="004A7FBB" w:rsidP="00724D42">
            <w:pPr>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Discriminatie</w:t>
            </w:r>
            <w:r w:rsidRPr="004A7FBB">
              <w:rPr>
                <w:rFonts w:ascii="HelveticaNeueLT Std Lt" w:hAnsi="HelveticaNeueLT Std Lt" w:cs="HelveticaNeueLT Std Lt"/>
                <w:color w:val="000000"/>
                <w:sz w:val="19"/>
                <w:szCs w:val="19"/>
              </w:rPr>
              <w:br/>
              <w:t>Discriminatie wil zeggen dat er (direct of indirect) onderscheid wordt gemaakt op grond van: afkomst, geslacht, seksuele geaardheid, leeftijd, handicap of chronische aandoening, politieke gezindheid, arbeidsrelatie (fulltime of parttime), arbeidscontract (vast of tijdelijk), vakbondslidmaatschap, burgerlijke staat, nationaliteit, godsdienst of levensbeschouwing</w:t>
            </w:r>
          </w:p>
          <w:p w:rsidR="00151487"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Medewerker of stagiaires</w:t>
            </w:r>
            <w:r>
              <w:rPr>
                <w:rFonts w:ascii="HelveticaNeueLT Std" w:hAnsi="HelveticaNeueLT Std" w:cs="HelveticaNeueLT Std"/>
                <w:b/>
                <w:bCs/>
                <w:sz w:val="19"/>
                <w:szCs w:val="19"/>
              </w:rPr>
              <w:br/>
            </w:r>
            <w:r w:rsidRPr="004A7FBB">
              <w:rPr>
                <w:rFonts w:ascii="HelveticaNeueLT Std Lt" w:hAnsi="HelveticaNeueLT Std Lt" w:cs="HelveticaNeueLT Std Lt"/>
                <w:color w:val="000000"/>
                <w:sz w:val="19"/>
                <w:szCs w:val="19"/>
              </w:rPr>
              <w:t xml:space="preserve">Eenieder die in loondienst is van het bedrijf, </w:t>
            </w:r>
            <w:proofErr w:type="spellStart"/>
            <w:r w:rsidRPr="004A7FBB">
              <w:rPr>
                <w:rFonts w:ascii="HelveticaNeueLT Std Lt" w:hAnsi="HelveticaNeueLT Std Lt" w:cs="HelveticaNeueLT Std Lt"/>
                <w:color w:val="000000"/>
                <w:sz w:val="19"/>
                <w:szCs w:val="19"/>
              </w:rPr>
              <w:t>danwel</w:t>
            </w:r>
            <w:proofErr w:type="spellEnd"/>
            <w:r w:rsidRPr="004A7FBB">
              <w:rPr>
                <w:rFonts w:ascii="HelveticaNeueLT Std Lt" w:hAnsi="HelveticaNeueLT Std Lt" w:cs="HelveticaNeueLT Std Lt"/>
                <w:color w:val="000000"/>
                <w:sz w:val="19"/>
                <w:szCs w:val="19"/>
              </w:rPr>
              <w:t xml:space="preserve"> leerlingen of stagiaires</w:t>
            </w:r>
          </w:p>
        </w:tc>
      </w:tr>
    </w:tbl>
    <w:p w:rsidR="001B6C4C" w:rsidRDefault="001B6C4C">
      <w:r>
        <w:br w:type="page"/>
      </w:r>
    </w:p>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4"/>
        <w:gridCol w:w="4664"/>
      </w:tblGrid>
      <w:tr w:rsidR="00AC3CC9" w:rsidTr="00AE14E3">
        <w:tc>
          <w:tcPr>
            <w:tcW w:w="4664" w:type="dxa"/>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lastRenderedPageBreak/>
              <w:t>Derden/ externen</w:t>
            </w:r>
            <w:r w:rsidRPr="004A7FBB">
              <w:rPr>
                <w:rFonts w:ascii="HelveticaNeueLT Std Lt" w:hAnsi="HelveticaNeueLT Std Lt" w:cs="HelveticaNeueLT Std Lt"/>
                <w:color w:val="000000"/>
                <w:sz w:val="19"/>
                <w:szCs w:val="19"/>
              </w:rPr>
              <w:br/>
              <w:t>Bezoekers, eenieder die een (zakelijke) relatie heeft met het bedrijf</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Pr>
                <w:rFonts w:ascii="HelveticaNeueLT Std" w:hAnsi="HelveticaNeueLT Std" w:cs="HelveticaNeueLT Std"/>
                <w:b/>
                <w:bCs/>
                <w:sz w:val="19"/>
                <w:szCs w:val="19"/>
              </w:rPr>
              <w:t>Vertrouwensperoon</w:t>
            </w:r>
            <w:r w:rsidRPr="004A7FBB">
              <w:rPr>
                <w:rFonts w:ascii="HelveticaNeueLT Std Lt" w:hAnsi="HelveticaNeueLT Std Lt" w:cs="HelveticaNeueLT Std Lt"/>
                <w:color w:val="000000"/>
                <w:sz w:val="19"/>
                <w:szCs w:val="19"/>
              </w:rPr>
              <w:br/>
              <w:t>Een door de directie (in overleg met de OR/PVT) aangestelde functionaris, die op onafhankelijke en vertrouwelijke wijze degene die te maken heeft gehad met ongewenste omgangsvormen opvangt, begeleidt en ondersteunt en openstaat voor klachten zoals binnen deze regeling bedoeld.</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2</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Reikwijdte van de klachtenregeling</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Deze klachtenregeling is opgesteld met instemming van de OR of PVT en geldt voor alle medewerkers die in dienst zijn van het bedrijf.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3</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Verbod van ongewenst gedrag</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Het is eenieder verboden om zich tijdens het uitvoeren van de werkzaamheden, binnen of buiten de gebouwen van het bedrijf, schuldig te maken aan ongewenst gedrag.</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4</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 xml:space="preserve">Klacht over ongewenst gedrag bij </w:t>
            </w:r>
            <w:proofErr w:type="spellStart"/>
            <w:r>
              <w:rPr>
                <w:rFonts w:ascii="HelveticaNeueLT Std" w:hAnsi="HelveticaNeueLT Std" w:cs="HelveticaNeueLT Std"/>
                <w:b/>
                <w:bCs/>
                <w:sz w:val="19"/>
                <w:szCs w:val="19"/>
              </w:rPr>
              <w:t>vertrouwens-persoon</w:t>
            </w:r>
            <w:proofErr w:type="spellEnd"/>
            <w:r>
              <w:rPr>
                <w:rFonts w:ascii="HelveticaNeueLT Std" w:hAnsi="HelveticaNeueLT Std" w:cs="HelveticaNeueLT Std"/>
                <w:b/>
                <w:bCs/>
                <w:sz w:val="19"/>
                <w:szCs w:val="19"/>
              </w:rPr>
              <w:t xml:space="preserve">, directie of klachtencommissie </w:t>
            </w:r>
          </w:p>
          <w:p w:rsidR="00957883" w:rsidRDefault="004A7FBB" w:rsidP="004A7FBB">
            <w:pPr>
              <w:pStyle w:val="03Bopsommingbullets"/>
              <w:tabs>
                <w:tab w:val="clear" w:pos="340"/>
              </w:tabs>
              <w:ind w:left="0" w:firstLine="0"/>
            </w:pPr>
            <w:r w:rsidRPr="004A7FBB">
              <w:t>Iedere medewerker of derde heeft het recht om, al dan niet via de vertrouwenspersoon of de directie, schriftelijk een klacht in te dienen bij de klachtencommissie over ongewenst gedrag van een medewerker of derde, voor zover de gedraging een relatie heeft met werkzaamheden namens of binnen het bedrijf.</w:t>
            </w:r>
          </w:p>
          <w:p w:rsidR="00AC3CC9" w:rsidRDefault="00AC3CC9" w:rsidP="00AC3CC9"/>
        </w:tc>
        <w:tc>
          <w:tcPr>
            <w:tcW w:w="4664" w:type="dxa"/>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5</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Bevestiging ontvangst klacht en termijn waarbinnen een klacht dient te worden ingediend, geen verjaring</w:t>
            </w:r>
            <w:r w:rsidRPr="004A7FBB">
              <w:rPr>
                <w:rFonts w:ascii="HelveticaNeueLT Std Lt" w:hAnsi="HelveticaNeueLT Std Lt" w:cs="HelveticaNeueLT Std Lt"/>
                <w:color w:val="000000"/>
                <w:sz w:val="19"/>
                <w:szCs w:val="19"/>
              </w:rPr>
              <w:t xml:space="preserve">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Na ontvangst van de klacht krijgt de klager een ontvangstbevestiging. Anonieme klachten worden niet in behandeling genomen.</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De termijn waarbinnen een klacht dient te worden ingediend is in beginsel onbepaald.</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Echter wanneer de gedraging waartegen de klacht zich richt, langer dan drie jaar voor het indienen van de klacht voor het laatst plaatsvond, dan bepaalt de vertrouwenspersoon in overleg met de directie of zij het nog relevant achten, om de klacht in behandeling te nemen. De directie geeft klager gemotiveerd kennis van een beslissing tot het niet in behandeling nemen van een klacht.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6</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De adviescommissie, samenstelling</w:t>
            </w:r>
            <w:r w:rsidRPr="004A7FBB">
              <w:rPr>
                <w:rFonts w:ascii="HelveticaNeueLT Std Lt" w:hAnsi="HelveticaNeueLT Std Lt" w:cs="HelveticaNeueLT Std Lt"/>
                <w:color w:val="000000"/>
                <w:sz w:val="19"/>
                <w:szCs w:val="19"/>
              </w:rPr>
              <w:t xml:space="preserve"> </w:t>
            </w:r>
          </w:p>
          <w:p w:rsidR="00AC3CC9" w:rsidRDefault="004A7FBB" w:rsidP="004A7FBB">
            <w:r w:rsidRPr="004A7FBB">
              <w:rPr>
                <w:rFonts w:ascii="HelveticaNeueLT Std Lt" w:hAnsi="HelveticaNeueLT Std Lt" w:cs="HelveticaNeueLT Std Lt"/>
                <w:color w:val="000000"/>
                <w:sz w:val="19"/>
                <w:szCs w:val="19"/>
              </w:rPr>
              <w:t>De directie stelt – met instemming van de OR of PVT - een adviescommissie in die de afhandeling van de klacht voor hem voorbereidt. De commissie bestaat tenminste uit drie leden (zowel mannen als vrouwen), waaronder een voorzitter. Leden van de commissie mogen niet zijn directielid of een vertrouwenspersoon zoals bedoeld in deze regeling. De voorzitter is geen medewerker en is derhalve onafhankelijk.</w:t>
            </w:r>
            <w:r w:rsidR="00CE48A0">
              <w:t xml:space="preserve"> </w:t>
            </w:r>
          </w:p>
        </w:tc>
        <w:tc>
          <w:tcPr>
            <w:tcW w:w="4664" w:type="dxa"/>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7</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De behandeling, het horen en de zitting</w:t>
            </w:r>
            <w:r w:rsidRPr="004A7FBB">
              <w:rPr>
                <w:rFonts w:ascii="HelveticaNeueLT Std Lt" w:hAnsi="HelveticaNeueLT Std Lt" w:cs="HelveticaNeueLT Std Lt"/>
                <w:color w:val="000000"/>
                <w:sz w:val="19"/>
                <w:szCs w:val="19"/>
              </w:rPr>
              <w:t xml:space="preserve">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behandeling van de klacht zal worden afgedaan volgens de regels voor klachtafhandeling, voor zover hieronder niet anders is bepaald.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commissie roept binnen vier weken zowel de klager als de initiator op ter zitting. De zitting vindt plaats achter gesloten deuren. De commissie kan, al dan niet op verzoek van een der partijen, besluiten tot een openbare zitting. De commissie hoort zowel de klager als de initiator. Het horen geschiedt in elkaars bijzijn, tenzij een der partijen hier bezwaar tegen maakt en de commissie dit bezwaar redelijk acht.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Tot tien dagen voor de zitting staat het partijen vrij om eventuele bewijsstukken of getuigen in te brengen. Van het horen wordt door de commissie een verslag gemaakt.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Ieder der partijen heeft het recht om kennis te nemen van het verhandelde tijdens het horen buiten zijn aanwezigheid.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8</w:t>
            </w:r>
            <w:r w:rsidRPr="004A7FBB">
              <w:rPr>
                <w:rFonts w:ascii="HelveticaNeueLT Std Lt" w:hAnsi="HelveticaNeueLT Std Lt" w:cs="HelveticaNeueLT Std Lt"/>
                <w:caps/>
                <w:color w:val="000000"/>
                <w:sz w:val="19"/>
                <w:szCs w:val="19"/>
              </w:rPr>
              <w:br/>
            </w:r>
            <w:r>
              <w:rPr>
                <w:rFonts w:ascii="HelveticaNeueLT Std" w:hAnsi="HelveticaNeueLT Std" w:cs="HelveticaNeueLT Std"/>
                <w:b/>
                <w:bCs/>
                <w:sz w:val="19"/>
                <w:szCs w:val="19"/>
              </w:rPr>
              <w:t>Beslistermijn</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directie beslist, na behandeling van de klachtencommissie, op de klacht binnen 10 weken na het indienen van de klacht. Zowel klager als initiator ontvangen binnen deze periode een schriftelijk en gemotiveerd afschrift van de beslissing.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beslistermijn kan met ten hoogste vier weken verlengd worden. Hiervan wordt aan partijen schriftelijk mededeling gedaan. </w:t>
            </w:r>
          </w:p>
          <w:p w:rsidR="00AC3CC9" w:rsidRDefault="00AC3CC9" w:rsidP="00CE48A0">
            <w:pPr>
              <w:pStyle w:val="03Alopendetekst"/>
            </w:pPr>
          </w:p>
        </w:tc>
      </w:tr>
    </w:tbl>
    <w:p w:rsidR="004A7FBB" w:rsidRDefault="004A7FBB" w:rsidP="00AC3CC9"/>
    <w:p w:rsidR="004A7FBB" w:rsidRDefault="004A7FBB"/>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4"/>
        <w:gridCol w:w="4664"/>
        <w:gridCol w:w="4664"/>
      </w:tblGrid>
      <w:tr w:rsidR="004A7FBB" w:rsidTr="004A7FBB">
        <w:tc>
          <w:tcPr>
            <w:tcW w:w="4664" w:type="dxa"/>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9</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De uitspraak</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Met inachtneming van het advies van de klachtencommissie, zal de directie zich uitspreken over de klacht.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De uitspraak strekt tot:</w:t>
            </w:r>
          </w:p>
          <w:p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het niet ontvankelijk verklaren van de klacht,</w:t>
            </w:r>
          </w:p>
          <w:p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het ongegrond verklaren van de klacht of</w:t>
            </w:r>
          </w:p>
          <w:p w:rsidR="004A7FBB" w:rsidRPr="00844D2F" w:rsidRDefault="004A7FBB" w:rsidP="00844D2F">
            <w:pPr>
              <w:pStyle w:val="Lijstalinea"/>
              <w:numPr>
                <w:ilvl w:val="0"/>
                <w:numId w:val="9"/>
              </w:numPr>
              <w:tabs>
                <w:tab w:val="left" w:pos="340"/>
              </w:tabs>
              <w:autoSpaceDE w:val="0"/>
              <w:autoSpaceDN w:val="0"/>
              <w:adjustRightInd w:val="0"/>
              <w:spacing w:line="230" w:lineRule="atLeast"/>
              <w:ind w:right="113"/>
              <w:textAlignment w:val="center"/>
              <w:rPr>
                <w:rFonts w:ascii="HelveticaNeueLT Std Lt" w:hAnsi="HelveticaNeueLT Std Lt" w:cs="HelveticaNeueLT Std Lt"/>
                <w:color w:val="000000"/>
                <w:sz w:val="19"/>
                <w:szCs w:val="19"/>
              </w:rPr>
            </w:pPr>
            <w:r w:rsidRPr="00844D2F">
              <w:rPr>
                <w:rFonts w:ascii="HelveticaNeueLT Std Lt" w:hAnsi="HelveticaNeueLT Std Lt" w:cs="HelveticaNeueLT Std Lt"/>
                <w:color w:val="000000"/>
                <w:sz w:val="19"/>
                <w:szCs w:val="19"/>
              </w:rPr>
              <w:t xml:space="preserve">het gegrond verklaren van de klacht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Indien de directie afwijkt van het door de commissie uitgebrachte advies, zullen de redenen daarvan uit de motivering van zijn besluit blijken.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De uitspraak wordt partijen schriftelijk medegedeeld.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10</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Aanpakken van de dader</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olor w:val="000000"/>
                <w:sz w:val="19"/>
                <w:szCs w:val="19"/>
              </w:rPr>
              <w:t xml:space="preserve">Wanneer de directie een klacht gegrond verklaart, wordt een passende maatregel opgelegd aan de daders. Denk aan een berisping, een waarschuwing in het personeelsdossier, een schorsing of ontslag, afhankelijk van de ernst van het wangedrag. </w:t>
            </w:r>
          </w:p>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11</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Melding ongewenst gedrag bij politie/justitie</w:t>
            </w:r>
            <w:r w:rsidR="00844D2F" w:rsidRPr="004A7FBB">
              <w:rPr>
                <w:rFonts w:ascii="HelveticaNeueLT Std Lt" w:hAnsi="HelveticaNeueLT Std Lt" w:cs="HelveticaNeueLT Std Lt"/>
                <w:color w:val="000000"/>
                <w:sz w:val="19"/>
                <w:szCs w:val="19"/>
              </w:rPr>
              <w:t xml:space="preserve"> </w:t>
            </w:r>
          </w:p>
          <w:p w:rsidR="004A7FBB" w:rsidRDefault="004A7FBB" w:rsidP="00724D42">
            <w:r w:rsidRPr="004A7FBB">
              <w:rPr>
                <w:rFonts w:ascii="HelveticaNeueLT Std Lt" w:hAnsi="HelveticaNeueLT Std Lt" w:cs="HelveticaNeueLT Std Lt"/>
                <w:color w:val="000000"/>
                <w:sz w:val="19"/>
                <w:szCs w:val="19"/>
              </w:rPr>
              <w:t xml:space="preserve">Wanneer hiertoe een wettelijke verplichting bestaat, doet de directie onverwijld aangifte van ongewenst gedrag bij de politie. In andere gevallen kan de directie bij gebleken ongewenst gedrag, als de </w:t>
            </w:r>
            <w:r w:rsidR="00724D42">
              <w:rPr>
                <w:rFonts w:ascii="HelveticaNeueLT Std Lt" w:hAnsi="HelveticaNeueLT Std Lt" w:cs="HelveticaNeueLT Std Lt"/>
                <w:color w:val="000000"/>
                <w:sz w:val="19"/>
                <w:szCs w:val="19"/>
              </w:rPr>
              <w:t>o</w:t>
            </w:r>
            <w:bookmarkStart w:id="0" w:name="_GoBack"/>
            <w:bookmarkEnd w:id="0"/>
            <w:r w:rsidRPr="004A7FBB">
              <w:rPr>
                <w:rFonts w:ascii="HelveticaNeueLT Std Lt" w:hAnsi="HelveticaNeueLT Std Lt" w:cs="HelveticaNeueLT Std Lt"/>
                <w:color w:val="000000"/>
                <w:sz w:val="19"/>
                <w:szCs w:val="19"/>
              </w:rPr>
              <w:t>mstandigheden daartoe aanleiding geven, eveneens besluiten aangifte te doen bij de politie.</w:t>
            </w:r>
          </w:p>
        </w:tc>
        <w:tc>
          <w:tcPr>
            <w:tcW w:w="4664" w:type="dxa"/>
          </w:tcPr>
          <w:p w:rsidR="004A7FBB" w:rsidRPr="004A7FBB" w:rsidRDefault="004A7FBB" w:rsidP="004A7FBB">
            <w:pPr>
              <w:tabs>
                <w:tab w:val="left" w:pos="283"/>
              </w:tabs>
              <w:autoSpaceDE w:val="0"/>
              <w:autoSpaceDN w:val="0"/>
              <w:adjustRightInd w:val="0"/>
              <w:spacing w:after="230" w:line="230" w:lineRule="atLeast"/>
              <w:textAlignment w:val="center"/>
              <w:rPr>
                <w:rFonts w:ascii="HelveticaNeueLT Std Lt" w:hAnsi="HelveticaNeueLT Std Lt" w:cs="HelveticaNeueLT Std Lt"/>
                <w:color w:val="000000"/>
                <w:sz w:val="19"/>
                <w:szCs w:val="19"/>
              </w:rPr>
            </w:pPr>
            <w:r w:rsidRPr="004A7FBB">
              <w:rPr>
                <w:rFonts w:ascii="HelveticaNeueLT Std Lt" w:hAnsi="HelveticaNeueLT Std Lt" w:cs="HelveticaNeueLT Std Lt"/>
                <w:caps/>
                <w:color w:val="000000"/>
                <w:sz w:val="19"/>
                <w:szCs w:val="19"/>
              </w:rPr>
              <w:t>Artikel 12</w:t>
            </w:r>
            <w:r w:rsidRPr="004A7FBB">
              <w:rPr>
                <w:rFonts w:ascii="HelveticaNeueLT Std Lt" w:hAnsi="HelveticaNeueLT Std Lt" w:cs="HelveticaNeueLT Std Lt"/>
                <w:caps/>
                <w:color w:val="000000"/>
                <w:sz w:val="19"/>
                <w:szCs w:val="19"/>
              </w:rPr>
              <w:br/>
            </w:r>
            <w:r w:rsidR="00844D2F">
              <w:rPr>
                <w:rFonts w:ascii="HelveticaNeueLT Std" w:hAnsi="HelveticaNeueLT Std" w:cs="HelveticaNeueLT Std"/>
                <w:b/>
                <w:bCs/>
                <w:sz w:val="19"/>
                <w:szCs w:val="19"/>
              </w:rPr>
              <w:t>Spoedeisende gevallen, verkorte procedure</w:t>
            </w:r>
            <w:r w:rsidR="00844D2F" w:rsidRPr="004A7FBB">
              <w:rPr>
                <w:rFonts w:ascii="HelveticaNeueLT Std Lt" w:hAnsi="HelveticaNeueLT Std Lt" w:cs="HelveticaNeueLT Std Lt"/>
                <w:color w:val="000000"/>
                <w:sz w:val="19"/>
                <w:szCs w:val="19"/>
              </w:rPr>
              <w:t xml:space="preserve"> </w:t>
            </w:r>
          </w:p>
          <w:p w:rsidR="004A7FBB" w:rsidRDefault="004A7FBB" w:rsidP="004A7FBB">
            <w:r w:rsidRPr="004A7FBB">
              <w:rPr>
                <w:rFonts w:ascii="HelveticaNeueLT Std Lt" w:hAnsi="HelveticaNeueLT Std Lt" w:cs="HelveticaNeueLT Std Lt"/>
                <w:color w:val="000000"/>
                <w:sz w:val="19"/>
                <w:szCs w:val="19"/>
              </w:rPr>
              <w:t>Een klager kan de directie verzoeken zijn klacht versneld af te handelen, door middel van een verkorte procedure. De directie gaat hiertoe over wanneer de klager in zijn klachtschrift aangeeft zoveel last van het ongewenste gedrag te hebben, dat verder functioneren redelijkerwijs niet gevergd kan worden. Klager moet tevens hulp hebben gezocht bij de Vertrouwenspersoon welke onderschrijft dat een verkorte procedure daadwerkelijk gewenst is. Bij toewijzing van dit verzoek komt de commissie binnen een week bijeen. De directie zal in deze gevallen binnen 10 dagen een uitspraak doen.</w:t>
            </w:r>
          </w:p>
        </w:tc>
        <w:tc>
          <w:tcPr>
            <w:tcW w:w="4664" w:type="dxa"/>
          </w:tcPr>
          <w:p w:rsidR="004A7FBB" w:rsidRDefault="004A7FBB" w:rsidP="00AC3CC9"/>
        </w:tc>
      </w:tr>
    </w:tbl>
    <w:p w:rsidR="00801877" w:rsidRPr="00AC3CC9" w:rsidRDefault="00801877" w:rsidP="00AC3CC9"/>
    <w:sectPr w:rsidR="00801877" w:rsidRPr="00AC3CC9" w:rsidSect="00151487">
      <w:headerReference w:type="default" r:id="rId8"/>
      <w:footerReference w:type="default" r:id="rId9"/>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87" w:rsidRDefault="00151487" w:rsidP="00151487">
      <w:pPr>
        <w:spacing w:after="0" w:line="240" w:lineRule="auto"/>
      </w:pPr>
      <w:r>
        <w:separator/>
      </w:r>
    </w:p>
  </w:endnote>
  <w:endnote w:type="continuationSeparator" w:id="0">
    <w:p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HelveticaNeueLT Std Blk"/>
    <w:panose1 w:val="00000000000000000000"/>
    <w:charset w:val="00"/>
    <w:family w:val="swiss"/>
    <w:notTrueType/>
    <w:pitch w:val="variable"/>
    <w:sig w:usb0="00000003" w:usb1="00000000" w:usb2="00000000" w:usb3="00000000" w:csb0="00000001"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altName w:val="HelveticaNeueLT Std Med"/>
    <w:panose1 w:val="020B060402020202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Default="00151487" w:rsidP="00151487">
    <w:pPr>
      <w:pStyle w:val="Voettekst"/>
      <w:tabs>
        <w:tab w:val="clear" w:pos="4536"/>
        <w:tab w:val="clear" w:pos="9072"/>
        <w:tab w:val="left" w:pos="1590"/>
      </w:tabs>
    </w:pPr>
    <w:r>
      <w:rPr>
        <w:noProof/>
        <w:lang w:eastAsia="nl-NL"/>
      </w:rPr>
      <w:drawing>
        <wp:inline distT="0" distB="0" distL="0" distR="0" wp14:anchorId="3A9DF785" wp14:editId="592D8028">
          <wp:extent cx="1855377" cy="4095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87" w:rsidRDefault="00151487" w:rsidP="00151487">
      <w:pPr>
        <w:spacing w:after="0" w:line="240" w:lineRule="auto"/>
      </w:pPr>
      <w:r>
        <w:separator/>
      </w:r>
    </w:p>
  </w:footnote>
  <w:footnote w:type="continuationSeparator" w:id="0">
    <w:p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1D67D4"/>
    <w:multiLevelType w:val="hybridMultilevel"/>
    <w:tmpl w:val="65FA9292"/>
    <w:lvl w:ilvl="0" w:tplc="7638D5C4">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87"/>
    <w:rsid w:val="00151487"/>
    <w:rsid w:val="001B6C4C"/>
    <w:rsid w:val="0029054C"/>
    <w:rsid w:val="004A7FBB"/>
    <w:rsid w:val="005E75EA"/>
    <w:rsid w:val="00724D42"/>
    <w:rsid w:val="00801877"/>
    <w:rsid w:val="008423F0"/>
    <w:rsid w:val="00844D2F"/>
    <w:rsid w:val="00957883"/>
    <w:rsid w:val="00AC3CC9"/>
    <w:rsid w:val="00AE14E3"/>
    <w:rsid w:val="00CE4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 w:type="character" w:customStyle="1" w:styleId="grijzevaanduidinginkapitalen">
    <w:name w:val="grijzevaanduiding in kapitalen"/>
    <w:basedOn w:val="03aanduiding"/>
    <w:uiPriority w:val="99"/>
    <w:rsid w:val="004A7FBB"/>
    <w:rPr>
      <w:caps/>
      <w:color w:val="000000"/>
    </w:rPr>
  </w:style>
  <w:style w:type="paragraph" w:customStyle="1" w:styleId="03Jalinearand">
    <w:name w:val="03J. alinearand"/>
    <w:basedOn w:val="03Alopendetekst"/>
    <w:uiPriority w:val="99"/>
    <w:rsid w:val="004A7FBB"/>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63D10-1F8E-44AF-88AF-1E8C0551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1330</Words>
  <Characters>7320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Brigitta Koppenol</cp:lastModifiedBy>
  <cp:revision>4</cp:revision>
  <dcterms:created xsi:type="dcterms:W3CDTF">2020-09-14T14:39:00Z</dcterms:created>
  <dcterms:modified xsi:type="dcterms:W3CDTF">2020-09-16T14:19:00Z</dcterms:modified>
</cp:coreProperties>
</file>